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Система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раннего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развития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числе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должна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иметь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положительный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аспект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если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смотреть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как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рецепт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«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выращивания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гениев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»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как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одно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средств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познания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мира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 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–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сложный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состоящий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ряда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операций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: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опознание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связи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фонемой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(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звуком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слияние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слоги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слогов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слова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)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Причинами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трудностей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являются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: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  1.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Педагогическая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запущенность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-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форсированность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темпов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обучения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-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недостаточный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контроль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усвоением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знаний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-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равнодушием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семьи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др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2.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Предрасположенность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которая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долго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находиться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скрытой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форме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неблагоприятных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условиях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«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расцветает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»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раньше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овладевает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грамотой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меньше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проблем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школе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: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-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отличие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звука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имеет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постоянный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образ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поэтому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звуки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легче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автоматизировать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через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слогах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словах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фразе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-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развивается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аналитико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-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синтетическая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деятельность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;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-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уточняется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обогащается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словарь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овладевает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навыками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словоизменения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словообразования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;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-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появляется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уверенность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себе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исчезает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негативное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отношение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школе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Сформировать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стабильный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графический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образ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помогает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выкладывание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палочек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преобразование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другую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наиболее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целесообразным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способом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Очень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важным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является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развитие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зрительно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-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пространственной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ориентировки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Целесообразно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проводить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сравнение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сходных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написанию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выделять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общие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элементы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учить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lastRenderedPageBreak/>
        <w:t>видеть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разницу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расположении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позволяет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избежать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смешения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снизит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количество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оптических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ошибок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Эффективны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приемы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обведения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контура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пальцем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приемы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дермолексии</w:t>
      </w:r>
      <w:proofErr w:type="spellEnd"/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(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рисование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ладони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тактильное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опознание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(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магнитной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азбуки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наждачной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бумаги</w:t>
      </w:r>
      <w:proofErr w:type="gramStart"/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) .</w:t>
      </w:r>
      <w:proofErr w:type="gramEnd"/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особенно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первоначальных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этапах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используются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книги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иллюстрациями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одноцветный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многоцветный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текст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также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тексты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придуманные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самим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своим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рисункам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Следует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отметить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дошкольном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возрасте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важно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воспитывать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уверенность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собственных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силах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успешность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желание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использовать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приобретенные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навыки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повседневной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жизни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(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нахождение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знакомых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афиш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заголовков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газетах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.)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Любое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занятие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важно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заканчивать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теми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упражнениями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которые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доступны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доставляют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удовольствие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стимулирует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способствует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успешности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помните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«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игра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»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должна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заканчиваться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раньше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успеет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устать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оставив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собой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чувство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«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голода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»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Типичные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ошибки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осложняющие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навыки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: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Изучение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алфавитных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названий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Правильно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будет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детей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называть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звуками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: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БЭ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МЭ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ША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ЭР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коротко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Ш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противном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случае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затрудняется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: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навык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слияния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слоги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вместо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МАМА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читает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МЭАМЭА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Легко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ребёнку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расшифровать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такое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слово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?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Конечно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же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смысл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прочитанного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буквам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часто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остаётся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для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ребёнка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непонятным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сам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утомительным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безынтересным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2)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Неправильное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слиянию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слоги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слогов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;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Неправильный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подход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: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-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будет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-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побуквенное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: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proofErr w:type="gramStart"/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proofErr w:type="gramEnd"/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lastRenderedPageBreak/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-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прочитывание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глазами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затем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произнесение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фраз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глядя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книгу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Правильное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навыкам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чтения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Ребёнок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тянет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первый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звук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тех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пор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дойдет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второго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: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МММА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–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МММА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;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СССОК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;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РРРАК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Основной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причиной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возникновения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нарушений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письма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многие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исследователи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считают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недостатки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произношения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детей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которые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сопровождаются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недоразвитием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фонемообразования</w:t>
      </w:r>
      <w:proofErr w:type="spellEnd"/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поэтому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важно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5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посещать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занятия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логопеда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ждать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когда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заговорит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правильно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формирования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навыка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детей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оказывает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влияние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общее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психическое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физическое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развитие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Высокая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степень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развития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памяти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мышления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речи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стимулировать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навык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наоборот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слабое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развитие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одной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нескольких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психических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функций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тормозить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успешное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формирование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этого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навыка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ТАКОЕ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?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представляет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собой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определенный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психологический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способность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человека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концентрироваться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необходимом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действии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насколько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хорошо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многом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зависит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успех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школе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поэтому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очень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важно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приступить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работе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дошкольном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возрасте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создавать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условия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для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чтобы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непроизвольное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переросло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произвольное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волевое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умение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сосредотачиваться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лучшее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могут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сделать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родители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–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умение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концентрироваться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помощи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игры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выделить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следующие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характеристики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данного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: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Объем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количество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информации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которое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удержать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своем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сознании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Сосредоточенность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Умение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сконцентрироваться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-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определенном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Устойчивость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Временной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промежуток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течение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которого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удается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сохранять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сосредоточенность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lastRenderedPageBreak/>
        <w:t>Распределение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Способность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разделять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несколько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одновременно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протекающих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Переключаемость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Возможность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быстро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переводить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сосредоточенность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одного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действия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другое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Задача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родителей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–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заниматься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детьми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настолько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продуктивно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чтобы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них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сформировались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развивались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все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эти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характеристики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представляет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собой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один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когнитивной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есть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познавательной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сферы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человека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–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наравне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памятью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мышлением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восприятием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воображением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Без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сосредоточенности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невозможно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получить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новую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информацию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необходимом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объеме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запомнить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поэтому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данный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полной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уверенностью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назвать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первой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ступенью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познания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Далее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помощи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памяти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человек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накапливает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приобретенную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информацию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Только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имея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необходимый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уровень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дальнейшем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сможет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научиться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таким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когнитивным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процессам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как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письмо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обучение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ПРИЕМЫ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ПОВЫШЕНИЯ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ВНИМАНИЯ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Для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дошкольников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особое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значение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имеет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развитие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способности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сосредоточиться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родителям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следует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тренировать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детей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используя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ненавязчивую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игровую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форму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несколько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хитростей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приемов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которые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использовать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: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Поддержание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интереса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Используя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игровые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формы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добиться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будет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заниматься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огромным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удовольствием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соответственно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внимательно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Придерживаться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длительности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занятий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Так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изучая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4-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цифры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нужно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понимать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малыш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способен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удерживать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более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20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минут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поэтому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лучше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уложиться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учебным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материалом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эти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рамки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Любимые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персонажи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игрушки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также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помогут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утратить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интерес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потому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Tempus Sans ITC" w:eastAsia="Times New Roman" w:hAnsi="Tempus Sans ITC" w:cs="Tempus Sans ITC"/>
          <w:i/>
          <w:iCs/>
          <w:color w:val="181818"/>
          <w:sz w:val="28"/>
          <w:szCs w:val="28"/>
          <w:lang w:eastAsia="ru-RU"/>
        </w:rPr>
        <w:t>–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послушать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воспринять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сообщает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родитель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lastRenderedPageBreak/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Показывать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пример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пояснить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если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он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внимателен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старается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выполнять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задание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родителей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результат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(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например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башня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из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кубиков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)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получится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гораздо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лучше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если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он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работал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сосредоточившись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-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как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Чтение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взаимосвязаны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поэтому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для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улучшения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второго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научить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ребенка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первому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Пока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малыш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только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знакомится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буквами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мама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может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читать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ему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интересные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сказки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истории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После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обязательно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нужно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обсудить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прочитанное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пересказать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задавая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вопросы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Это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поможет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узнать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насколько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кроха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внимательно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слушал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 </w:t>
      </w:r>
    </w:p>
    <w:p w:rsidR="005B27E8" w:rsidRPr="005B27E8" w:rsidRDefault="005B27E8" w:rsidP="005B27E8">
      <w:pPr>
        <w:shd w:val="clear" w:color="auto" w:fill="FFFFFF"/>
        <w:spacing w:after="0" w:line="240" w:lineRule="auto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Если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малыш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плохо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сосредотачивается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очень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далек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своей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возрастной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нормы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возможно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у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неглубокое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дыхание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Исправить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ситуацию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помогут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надувание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воздушных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шаров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мыльные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пузыри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игра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дудочке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свисток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.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Кроме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того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исследования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доказали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что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для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детей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очень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полезны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прогулки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на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свежем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воздухе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,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активные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спортивные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5B27E8">
        <w:rPr>
          <w:rFonts w:ascii="Cambria" w:eastAsia="Times New Roman" w:hAnsi="Cambria" w:cs="Cambria"/>
          <w:i/>
          <w:iCs/>
          <w:color w:val="181818"/>
          <w:sz w:val="28"/>
          <w:szCs w:val="28"/>
          <w:lang w:eastAsia="ru-RU"/>
        </w:rPr>
        <w:t>игры</w:t>
      </w:r>
      <w:r w:rsidRPr="005B27E8">
        <w:rPr>
          <w:rFonts w:ascii="Tempus Sans ITC" w:eastAsia="Times New Roman" w:hAnsi="Tempus Sans ITC" w:cs="Arial"/>
          <w:i/>
          <w:iCs/>
          <w:color w:val="181818"/>
          <w:sz w:val="28"/>
          <w:szCs w:val="28"/>
          <w:lang w:eastAsia="ru-RU"/>
        </w:rPr>
        <w:t>.</w:t>
      </w:r>
    </w:p>
    <w:p w:rsidR="005B27E8" w:rsidRPr="005B27E8" w:rsidRDefault="005B27E8" w:rsidP="005B27E8">
      <w:pPr>
        <w:shd w:val="clear" w:color="auto" w:fill="FFFFFF"/>
        <w:spacing w:after="0" w:line="240" w:lineRule="auto"/>
        <w:jc w:val="center"/>
        <w:rPr>
          <w:rFonts w:ascii="Tempus Sans ITC" w:eastAsia="Times New Roman" w:hAnsi="Tempus Sans ITC" w:cs="Arial"/>
          <w:color w:val="181818"/>
          <w:sz w:val="21"/>
          <w:szCs w:val="21"/>
          <w:lang w:eastAsia="ru-RU"/>
        </w:rPr>
      </w:pPr>
      <w:r w:rsidRPr="005B27E8">
        <w:rPr>
          <w:rFonts w:ascii="Tempus Sans ITC" w:eastAsia="Times New Roman" w:hAnsi="Tempus Sans ITC" w:cs="Arial"/>
          <w:color w:val="002060"/>
          <w:sz w:val="21"/>
          <w:szCs w:val="21"/>
          <w:lang w:eastAsia="ru-RU"/>
        </w:rPr>
        <w:t> </w:t>
      </w:r>
    </w:p>
    <w:p w:rsidR="001A6FF3" w:rsidRPr="005B27E8" w:rsidRDefault="001A6FF3" w:rsidP="005B27E8">
      <w:pPr>
        <w:spacing w:after="0" w:line="240" w:lineRule="auto"/>
        <w:rPr>
          <w:rFonts w:ascii="Tempus Sans ITC" w:hAnsi="Tempus Sans ITC"/>
        </w:rPr>
      </w:pPr>
    </w:p>
    <w:sectPr w:rsidR="001A6FF3" w:rsidRPr="005B27E8" w:rsidSect="005B27E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E8"/>
    <w:rsid w:val="001A6FF3"/>
    <w:rsid w:val="005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20FDB-285D-4043-ADD1-214F8052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D5A8-517F-4BBB-8F2C-2171F35D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559</dc:creator>
  <cp:keywords/>
  <dc:description/>
  <cp:lastModifiedBy>559</cp:lastModifiedBy>
  <cp:revision>1</cp:revision>
  <dcterms:created xsi:type="dcterms:W3CDTF">2022-11-30T08:10:00Z</dcterms:created>
  <dcterms:modified xsi:type="dcterms:W3CDTF">2022-11-30T08:14:00Z</dcterms:modified>
</cp:coreProperties>
</file>